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0349E3" w:rsidRPr="000349E3" w:rsidRDefault="000349E3" w:rsidP="000349E3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0349E3">
        <w:rPr>
          <w:b/>
          <w:bCs/>
          <w:color w:val="333333"/>
          <w:sz w:val="28"/>
          <w:szCs w:val="28"/>
        </w:rPr>
        <w:t>тсрочка и рассрочка исполнения решения суда</w:t>
      </w:r>
    </w:p>
    <w:p w:rsid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FFFFFF"/>
          <w:sz w:val="28"/>
          <w:szCs w:val="28"/>
        </w:rPr>
      </w:pP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В соответствии со ст.203 Гражданского процессуального кодекса РФ суд, рассмотревший дело, по заявлениям лиц, участвующих в деле, судебного пристава-исполнителя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Вопросы исправления описок и явных арифметических ошибок, разъяснения решения суда, отсрочки или рассрочки исполнения решения суда, изменения способа и порядка его исполнения, 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лиц, участвующих в деле.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В случае необходимости суд может вызвать лиц, участвующих в деле, в судебное заседание, известив их о времени и месте его проведения.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9E3">
        <w:rPr>
          <w:color w:val="333333"/>
          <w:sz w:val="28"/>
          <w:szCs w:val="28"/>
        </w:rPr>
        <w:t>По результатам рассмотрения суд выносит определение, которое высылается лицам, участвующим в деле, в течение трех дней со дня его вынесения.</w:t>
      </w:r>
    </w:p>
    <w:p w:rsidR="000349E3" w:rsidRPr="000349E3" w:rsidRDefault="000349E3" w:rsidP="000349E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0349E3">
        <w:rPr>
          <w:color w:val="333333"/>
          <w:sz w:val="28"/>
          <w:szCs w:val="28"/>
        </w:rPr>
        <w:t>На определение суда может быть подана частная жалоба, о чем указано в ст.203.1 Гражданского процессуального кодекса РФ.</w:t>
      </w:r>
    </w:p>
    <w:p w:rsidR="00361066" w:rsidRPr="000349E3" w:rsidRDefault="00361066" w:rsidP="000349E3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3E9E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2021-02-02T05:20:00Z</cp:lastPrinted>
  <dcterms:created xsi:type="dcterms:W3CDTF">2021-02-02T05:20:00Z</dcterms:created>
  <dcterms:modified xsi:type="dcterms:W3CDTF">2021-02-02T05:20:00Z</dcterms:modified>
</cp:coreProperties>
</file>